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lang w:val="en-US" w:eastAsia="zh-CN"/>
        </w:rPr>
        <w:t>3</w:t>
      </w:r>
    </w:p>
    <w:p>
      <w:pPr>
        <w:spacing w:before="120" w:beforeLines="50" w:after="240" w:afterLines="100" w:line="50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总结报告</w:t>
      </w:r>
    </w:p>
    <w:tbl>
      <w:tblPr>
        <w:tblStyle w:val="6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93"/>
        <w:gridCol w:w="1294"/>
        <w:gridCol w:w="1602"/>
        <w:gridCol w:w="1267"/>
        <w:gridCol w:w="1588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一、课程团队教师情况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74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专业技术职务</w:t>
            </w:r>
          </w:p>
        </w:tc>
        <w:tc>
          <w:tcPr>
            <w:tcW w:w="13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从事学科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承担教学任务</w:t>
            </w:r>
          </w:p>
        </w:tc>
        <w:tc>
          <w:tcPr>
            <w:tcW w:w="91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3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4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</w:rPr>
              <w:t>…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二、课程建设情况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070" w:type="dxa"/>
            <w:gridSpan w:val="7"/>
          </w:tcPr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1.基本情况（目前本课程的开设时间、年限、授课对象、授课人数，以及课程资源质量水平和共享范围等）</w:t>
            </w: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2.课程设计（课程教学大纲、教学目标、教学内容、教学设计与方法、教学活动与评价等）</w:t>
            </w: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3.课程内容及对应的教学资源（涉及内容，是否注重思想导向和科学性，并突出“以学生为中心”、“课程思政”等）</w:t>
            </w: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4.教学活动与教师指导（课程建设团队充是否分开展在线教学活动与指导、其他教学活动等）</w:t>
            </w: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三、课程应用效果与影响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070" w:type="dxa"/>
            <w:gridSpan w:val="7"/>
          </w:tcPr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四、问题与不足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7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五、下一步的工作思路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070" w:type="dxa"/>
            <w:gridSpan w:val="7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宋体" w:hAnsi="宋体" w:eastAsia="宋体"/>
                <w:bCs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0D"/>
    <w:rsid w:val="003A550D"/>
    <w:rsid w:val="00AD6E93"/>
    <w:rsid w:val="00BD682B"/>
    <w:rsid w:val="00E93F0D"/>
    <w:rsid w:val="66C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1"/>
    <w:rPr>
      <w:rFonts w:ascii="宋体" w:hAnsi="宋体" w:eastAsia="宋体" w:cs="宋体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2020-11-06T00:05:00Z</dcterms:created>
  <dc:creator>PC</dc:creator>
  <cp:lastModifiedBy>肖现芳</cp:lastModifiedBy>
  <dcterms:modified xsi:type="dcterms:W3CDTF">2021-10-11T08:14:05Z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241F6884F7CF4D49A700E9C000C492FF</vt:lpwstr>
  </property>
</Properties>
</file>